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 1：</w:t>
      </w:r>
    </w:p>
    <w:p>
      <w:pPr>
        <w:spacing w:before="58" w:line="701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position w:val="25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3"/>
          <w:position w:val="25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022年各</w:t>
      </w:r>
      <w:r>
        <w:rPr>
          <w:rFonts w:hint="eastAsia" w:ascii="宋体" w:hAnsi="宋体" w:eastAsia="宋体" w:cs="宋体"/>
          <w:spacing w:val="-3"/>
          <w:position w:val="25"/>
          <w:sz w:val="36"/>
          <w:szCs w:val="36"/>
          <w:lang w:val="en-US"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二级学院</w:t>
      </w:r>
      <w:r>
        <w:rPr>
          <w:rFonts w:ascii="宋体" w:hAnsi="宋体" w:eastAsia="宋体" w:cs="宋体"/>
          <w:spacing w:val="-3"/>
          <w:position w:val="25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高级专业技术职务</w:t>
      </w:r>
    </w:p>
    <w:p>
      <w:pPr>
        <w:spacing w:line="22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评聘指</w:t>
      </w:r>
      <w:r>
        <w:rPr>
          <w:rFonts w:ascii="宋体" w:hAnsi="宋体" w:eastAsia="宋体" w:cs="宋体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标一览表</w:t>
      </w:r>
    </w:p>
    <w:p>
      <w:pPr>
        <w:spacing w:line="215" w:lineRule="exact"/>
      </w:pPr>
    </w:p>
    <w:tbl>
      <w:tblPr>
        <w:tblStyle w:val="4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3308"/>
        <w:gridCol w:w="2058"/>
        <w:gridCol w:w="2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81" w:type="dxa"/>
            <w:vAlign w:val="top"/>
          </w:tcPr>
          <w:p>
            <w:pPr>
              <w:spacing w:before="311" w:line="221" w:lineRule="auto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308" w:type="dxa"/>
            <w:vAlign w:val="top"/>
          </w:tcPr>
          <w:p>
            <w:pPr>
              <w:spacing w:before="310" w:line="221" w:lineRule="auto"/>
              <w:ind w:left="10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院/系列</w:t>
            </w:r>
          </w:p>
        </w:tc>
        <w:tc>
          <w:tcPr>
            <w:tcW w:w="2058" w:type="dxa"/>
            <w:vAlign w:val="center"/>
          </w:tcPr>
          <w:p>
            <w:pPr>
              <w:spacing w:before="128" w:line="254" w:lineRule="auto"/>
              <w:ind w:left="759" w:hanging="64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  <w14:textOutline w14:w="508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  <w14:textOutline w14:w="508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2696" w:type="dxa"/>
            <w:vAlign w:val="center"/>
          </w:tcPr>
          <w:p>
            <w:pPr>
              <w:spacing w:before="128" w:line="254" w:lineRule="auto"/>
              <w:ind w:left="1077" w:right="73" w:hanging="955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副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1" w:type="dxa"/>
            <w:vAlign w:val="top"/>
          </w:tcPr>
          <w:p>
            <w:pPr>
              <w:spacing w:before="136" w:line="185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308" w:type="dxa"/>
            <w:vAlign w:val="top"/>
          </w:tcPr>
          <w:p>
            <w:pPr>
              <w:spacing w:before="90" w:line="219" w:lineRule="auto"/>
              <w:ind w:left="8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机械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工程学院</w:t>
            </w:r>
          </w:p>
        </w:tc>
        <w:tc>
          <w:tcPr>
            <w:tcW w:w="2058" w:type="dxa"/>
            <w:vAlign w:val="top"/>
          </w:tcPr>
          <w:p>
            <w:pPr>
              <w:spacing w:before="136" w:line="185" w:lineRule="auto"/>
              <w:ind w:left="98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6" w:type="dxa"/>
            <w:vAlign w:val="top"/>
          </w:tcPr>
          <w:p>
            <w:pPr>
              <w:spacing w:before="138" w:line="184" w:lineRule="auto"/>
              <w:ind w:left="128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1" w:type="dxa"/>
            <w:vAlign w:val="top"/>
          </w:tcPr>
          <w:p>
            <w:pPr>
              <w:spacing w:before="154" w:line="184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308" w:type="dxa"/>
            <w:vAlign w:val="top"/>
          </w:tcPr>
          <w:p>
            <w:pPr>
              <w:spacing w:before="107" w:line="220" w:lineRule="auto"/>
              <w:ind w:left="8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电子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工程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学院</w:t>
            </w:r>
          </w:p>
        </w:tc>
        <w:tc>
          <w:tcPr>
            <w:tcW w:w="2058" w:type="dxa"/>
            <w:vAlign w:val="top"/>
          </w:tcPr>
          <w:p>
            <w:pPr>
              <w:spacing w:before="154" w:line="183" w:lineRule="auto"/>
              <w:ind w:left="973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6" w:type="dxa"/>
            <w:vAlign w:val="top"/>
          </w:tcPr>
          <w:p>
            <w:pPr>
              <w:spacing w:before="154" w:line="183" w:lineRule="auto"/>
              <w:ind w:left="129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81" w:type="dxa"/>
            <w:vAlign w:val="top"/>
          </w:tcPr>
          <w:p>
            <w:pPr>
              <w:spacing w:before="103" w:line="182" w:lineRule="auto"/>
              <w:ind w:left="43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8" w:type="dxa"/>
            <w:vAlign w:val="top"/>
          </w:tcPr>
          <w:p>
            <w:pPr>
              <w:spacing w:before="55" w:line="219" w:lineRule="auto"/>
              <w:ind w:left="9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计算机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学院</w:t>
            </w:r>
          </w:p>
        </w:tc>
        <w:tc>
          <w:tcPr>
            <w:tcW w:w="2058" w:type="dxa"/>
            <w:vAlign w:val="top"/>
          </w:tcPr>
          <w:p>
            <w:pPr>
              <w:spacing w:before="102" w:line="184" w:lineRule="auto"/>
              <w:ind w:left="971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6" w:type="dxa"/>
            <w:vAlign w:val="top"/>
          </w:tcPr>
          <w:p>
            <w:pPr>
              <w:spacing w:before="102" w:line="184" w:lineRule="auto"/>
              <w:ind w:left="1285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1" w:type="dxa"/>
            <w:vAlign w:val="top"/>
          </w:tcPr>
          <w:p>
            <w:pPr>
              <w:spacing w:before="104" w:line="183" w:lineRule="auto"/>
              <w:ind w:left="42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8" w:type="dxa"/>
            <w:vAlign w:val="top"/>
          </w:tcPr>
          <w:p>
            <w:pPr>
              <w:spacing w:before="57" w:line="221" w:lineRule="auto"/>
              <w:ind w:left="1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经济学院</w:t>
            </w:r>
          </w:p>
        </w:tc>
        <w:tc>
          <w:tcPr>
            <w:tcW w:w="2058" w:type="dxa"/>
            <w:vAlign w:val="top"/>
          </w:tcPr>
          <w:p>
            <w:pPr>
              <w:spacing w:before="105" w:line="184" w:lineRule="auto"/>
              <w:ind w:left="971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6" w:type="dxa"/>
            <w:vAlign w:val="top"/>
          </w:tcPr>
          <w:p>
            <w:pPr>
              <w:spacing w:before="105" w:line="184" w:lineRule="auto"/>
              <w:ind w:left="128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81" w:type="dxa"/>
            <w:vAlign w:val="top"/>
          </w:tcPr>
          <w:p>
            <w:pPr>
              <w:spacing w:before="103" w:line="183" w:lineRule="auto"/>
              <w:ind w:left="42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8" w:type="dxa"/>
            <w:vAlign w:val="center"/>
          </w:tcPr>
          <w:p>
            <w:pPr>
              <w:spacing w:before="55" w:line="220" w:lineRule="auto"/>
              <w:ind w:left="110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2058" w:type="dxa"/>
            <w:vAlign w:val="top"/>
          </w:tcPr>
          <w:p>
            <w:pPr>
              <w:spacing w:before="102" w:line="185" w:lineRule="auto"/>
              <w:ind w:left="98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6" w:type="dxa"/>
            <w:vAlign w:val="top"/>
          </w:tcPr>
          <w:p>
            <w:pPr>
              <w:spacing w:before="102" w:line="185" w:lineRule="auto"/>
              <w:ind w:left="1306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81" w:type="dxa"/>
            <w:vAlign w:val="top"/>
          </w:tcPr>
          <w:p>
            <w:pPr>
              <w:spacing w:before="106" w:line="182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8" w:type="dxa"/>
            <w:vAlign w:val="center"/>
          </w:tcPr>
          <w:p>
            <w:pPr>
              <w:spacing w:before="57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文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2058" w:type="dxa"/>
            <w:vAlign w:val="top"/>
          </w:tcPr>
          <w:p>
            <w:pPr>
              <w:spacing w:before="105" w:line="184" w:lineRule="auto"/>
              <w:ind w:left="971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6" w:type="dxa"/>
            <w:vAlign w:val="top"/>
          </w:tcPr>
          <w:p>
            <w:pPr>
              <w:spacing w:before="105" w:line="184" w:lineRule="auto"/>
              <w:ind w:left="128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81" w:type="dxa"/>
            <w:vAlign w:val="top"/>
          </w:tcPr>
          <w:p>
            <w:pPr>
              <w:spacing w:before="106" w:line="182" w:lineRule="auto"/>
              <w:ind w:left="435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8" w:type="dxa"/>
            <w:vAlign w:val="center"/>
          </w:tcPr>
          <w:p>
            <w:pPr>
              <w:spacing w:before="57" w:line="221" w:lineRule="auto"/>
              <w:jc w:val="center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思政系列</w:t>
            </w:r>
          </w:p>
        </w:tc>
        <w:tc>
          <w:tcPr>
            <w:tcW w:w="2058" w:type="dxa"/>
            <w:vAlign w:val="top"/>
          </w:tcPr>
          <w:p>
            <w:pPr>
              <w:spacing w:before="105" w:line="184" w:lineRule="auto"/>
              <w:ind w:left="971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6" w:type="dxa"/>
            <w:vAlign w:val="top"/>
          </w:tcPr>
          <w:p>
            <w:pPr>
              <w:spacing w:before="105" w:line="184" w:lineRule="auto"/>
              <w:ind w:left="128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81" w:type="dxa"/>
            <w:vAlign w:val="top"/>
          </w:tcPr>
          <w:p>
            <w:pPr>
              <w:spacing w:before="106" w:line="182" w:lineRule="auto"/>
              <w:ind w:left="435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8" w:type="dxa"/>
            <w:vAlign w:val="center"/>
          </w:tcPr>
          <w:p>
            <w:pPr>
              <w:spacing w:before="57" w:line="221" w:lineRule="auto"/>
              <w:jc w:val="center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实验系列</w:t>
            </w:r>
          </w:p>
        </w:tc>
        <w:tc>
          <w:tcPr>
            <w:tcW w:w="2058" w:type="dxa"/>
            <w:vAlign w:val="top"/>
          </w:tcPr>
          <w:p>
            <w:pPr>
              <w:spacing w:before="105" w:line="184" w:lineRule="auto"/>
              <w:ind w:left="971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5" w:line="184" w:lineRule="auto"/>
              <w:ind w:left="128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89" w:type="dxa"/>
            <w:gridSpan w:val="2"/>
            <w:vAlign w:val="top"/>
          </w:tcPr>
          <w:p>
            <w:pPr>
              <w:spacing w:before="62" w:line="221" w:lineRule="auto"/>
              <w:ind w:left="18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</w:t>
            </w:r>
          </w:p>
        </w:tc>
        <w:tc>
          <w:tcPr>
            <w:tcW w:w="2058" w:type="dxa"/>
            <w:vAlign w:val="top"/>
          </w:tcPr>
          <w:p>
            <w:pPr>
              <w:spacing w:before="108" w:line="183" w:lineRule="auto"/>
              <w:ind w:left="901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96" w:type="dxa"/>
            <w:vAlign w:val="top"/>
          </w:tcPr>
          <w:p>
            <w:pPr>
              <w:spacing w:before="108" w:line="183" w:lineRule="auto"/>
              <w:ind w:left="121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spacing w:before="106" w:line="322" w:lineRule="auto"/>
        <w:ind w:left="120" w:right="28" w:firstLine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  <w14:textOutline w14:w="3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高级专业技术职务评聘指标是各</w:t>
      </w: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二级</w:t>
      </w:r>
      <w:r>
        <w:rPr>
          <w:rFonts w:ascii="宋体" w:hAnsi="宋体" w:eastAsia="宋体" w:cs="宋体"/>
          <w:spacing w:val="-3"/>
          <w:sz w:val="21"/>
          <w:szCs w:val="21"/>
        </w:rPr>
        <w:t>学院(系列) 可聘高级专业技术职务的上限指标数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结合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学院</w:t>
      </w:r>
      <w:r>
        <w:rPr>
          <w:rFonts w:ascii="宋体" w:hAnsi="宋体" w:eastAsia="宋体" w:cs="宋体"/>
          <w:spacing w:val="1"/>
          <w:sz w:val="21"/>
          <w:szCs w:val="21"/>
        </w:rPr>
        <w:t>高级专业技术职务可聘指标紧缺的</w:t>
      </w:r>
      <w:r>
        <w:rPr>
          <w:rFonts w:ascii="宋体" w:hAnsi="宋体" w:eastAsia="宋体" w:cs="宋体"/>
          <w:sz w:val="21"/>
          <w:szCs w:val="21"/>
        </w:rPr>
        <w:t>实际情况，学校后续的评审环节中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，会综合考虑当年</w:t>
      </w:r>
      <w:r>
        <w:rPr>
          <w:rFonts w:ascii="宋体" w:hAnsi="宋体" w:eastAsia="宋体" w:cs="宋体"/>
          <w:spacing w:val="1"/>
          <w:sz w:val="21"/>
          <w:szCs w:val="21"/>
        </w:rPr>
        <w:t>申报人员的整体业绩情况，优中选优，严格</w:t>
      </w:r>
      <w:r>
        <w:rPr>
          <w:rFonts w:ascii="宋体" w:hAnsi="宋体" w:eastAsia="宋体" w:cs="宋体"/>
          <w:sz w:val="21"/>
          <w:szCs w:val="21"/>
        </w:rPr>
        <w:t xml:space="preserve">控制高级专业技术职务晋升比例。 </w:t>
      </w:r>
    </w:p>
    <w:sectPr>
      <w:pgSz w:w="11907" w:h="16839"/>
      <w:pgMar w:top="1429" w:right="1439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ViYjRhMGMzY2NjNDhiZTIxOTk3NmYzZGUzZmFlNjgifQ=="/>
  </w:docVars>
  <w:rsids>
    <w:rsidRoot w:val="00000000"/>
    <w:rsid w:val="2F975367"/>
    <w:rsid w:val="2FAF4A58"/>
    <w:rsid w:val="311F1B5A"/>
    <w:rsid w:val="44BA396E"/>
    <w:rsid w:val="66EC097F"/>
    <w:rsid w:val="7AC51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216</Characters>
  <TotalTime>6</TotalTime>
  <ScaleCrop>false</ScaleCrop>
  <LinksUpToDate>false</LinksUpToDate>
  <CharactersWithSpaces>221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2022-08-31T13:41:00Z</dcterms:created>
  <dc:creator>island</dc:creator>
  <cp:lastModifiedBy>Violet</cp:lastModifiedBy>
  <dcterms:modified xsi:type="dcterms:W3CDTF">2022-09-08T06:49:37Z</dcterms:modified>
  <dc:title>杭电人[2012]号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2022-09-01T19:03:57Z</vt:filetime>
  </property>
  <property fmtid="{D5CDD505-2E9C-101B-9397-08002B2CF9AE}" pid="4" name="KSOProductBuildVer">
    <vt:lpwstr>2052-11.1.0.12313</vt:lpwstr>
  </property>
  <property fmtid="{D5CDD505-2E9C-101B-9397-08002B2CF9AE}" pid="5" name="ICV">
    <vt:lpwstr>955596D4D8D7408F97D1982DDF6DFB41</vt:lpwstr>
  </property>
</Properties>
</file>