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rPr>
        <w:t>关于</w:t>
      </w:r>
      <w:r>
        <w:rPr>
          <w:rFonts w:hint="eastAsia" w:ascii="宋体" w:hAnsi="宋体" w:eastAsia="宋体" w:cs="宋体"/>
          <w:b/>
          <w:bCs/>
          <w:sz w:val="32"/>
          <w:szCs w:val="32"/>
          <w:lang w:val="en-US" w:eastAsia="zh-CN"/>
        </w:rPr>
        <w:t>开展</w:t>
      </w:r>
      <w:r>
        <w:rPr>
          <w:rFonts w:hint="eastAsia" w:ascii="宋体" w:hAnsi="宋体" w:eastAsia="宋体" w:cs="宋体"/>
          <w:b/>
          <w:bCs/>
          <w:sz w:val="32"/>
          <w:szCs w:val="32"/>
        </w:rPr>
        <w:t>第</w:t>
      </w:r>
      <w:r>
        <w:rPr>
          <w:rFonts w:hint="eastAsia" w:ascii="宋体" w:hAnsi="宋体" w:eastAsia="宋体" w:cs="宋体"/>
          <w:b/>
          <w:bCs/>
          <w:sz w:val="32"/>
          <w:szCs w:val="32"/>
          <w:lang w:val="en-US" w:eastAsia="zh-CN"/>
        </w:rPr>
        <w:t>六</w:t>
      </w:r>
      <w:r>
        <w:rPr>
          <w:rFonts w:hint="eastAsia" w:ascii="宋体" w:hAnsi="宋体" w:eastAsia="宋体" w:cs="宋体"/>
          <w:b/>
          <w:bCs/>
          <w:sz w:val="32"/>
          <w:szCs w:val="32"/>
        </w:rPr>
        <w:t>届“卡尔·马克思杯”浙江省大学生理论知识竞赛的通知</w:t>
      </w:r>
    </w:p>
    <w:p>
      <w:pPr>
        <w:jc w:val="lef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今年是全面贯彻落实党的二十大精神开局之年，也是“八八战略”实施二十周年。为深入学习贯彻习近平新时代中国特色社会主义思想和党的二十大精神，推动高校实施“时代新人铸魂工程”，经研究，决定举办第六届“卡尔·马克思杯”浙江省大学生理论知识竞赛活动</w:t>
      </w:r>
      <w:r>
        <w:rPr>
          <w:rFonts w:hint="eastAsia" w:ascii="仿宋" w:hAnsi="仿宋" w:eastAsia="仿宋" w:cs="仿宋"/>
          <w:color w:val="FF0000"/>
          <w:sz w:val="24"/>
          <w:szCs w:val="24"/>
        </w:rPr>
        <w:t>(省级A类比赛)</w:t>
      </w:r>
      <w:r>
        <w:rPr>
          <w:rFonts w:hint="eastAsia" w:ascii="仿宋" w:hAnsi="仿宋" w:eastAsia="仿宋" w:cs="仿宋"/>
          <w:sz w:val="24"/>
          <w:szCs w:val="24"/>
        </w:rPr>
        <w:t>选拔赛，现将有关事项通知如下：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一、大赛主题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“青春心向党 筑梦新时代”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二、参赛对象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全校学生均可参加，</w:t>
      </w:r>
      <w:r>
        <w:rPr>
          <w:rFonts w:hint="default" w:ascii="仿宋" w:hAnsi="仿宋" w:eastAsia="仿宋" w:cs="仿宋"/>
          <w:sz w:val="24"/>
          <w:szCs w:val="24"/>
          <w:lang w:val="en-US" w:eastAsia="zh-CN"/>
        </w:rPr>
        <w:t>本科</w:t>
      </w:r>
      <w:r>
        <w:rPr>
          <w:rFonts w:hint="eastAsia" w:ascii="仿宋" w:hAnsi="仿宋" w:eastAsia="仿宋" w:cs="仿宋"/>
          <w:sz w:val="24"/>
          <w:szCs w:val="24"/>
          <w:lang w:val="en-US" w:eastAsia="zh-CN"/>
        </w:rPr>
        <w:t>21级、专升本23级为主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三、竞赛赛制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第一阶段：赛前练习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时间为 11 月 13 日—19 日，参赛者可关注“学习有理”省理论发声平台进行赛前练习。答题前选择学校等信息，点击“学习有理”页面下方互动栏“有理答题”按钮参与答题，或通过“学习有理”公众号活动推文获取答题入口。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练习次数不限、时长不限，一次 20 题，满分 100 分，题型为单选题和多选题，取最高分计个人成绩，集体成绩主要以各学院的参赛率为依据，若出现参赛率相同的情况，则综合平均分情况得出。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drawing>
          <wp:inline distT="0" distB="0" distL="114300" distR="114300">
            <wp:extent cx="2209800" cy="22098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2209800" cy="22098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注：赛前练习每个参赛学生必须都要参加，否则后台无法记录练习次数，影响初赛进行以及奖项记录。参赛学校选择“杭州电子科技大学信息工程学院”。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第二阶段：初赛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时间为 11 月 20 日—24 日，参赛者可使用潮新闻客户端进行线上答题，首次答题时须进行注册，填写学校、学号、姓名等信息。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初赛阶段，每人每天可以答题 1 次（以“提交成功”为准），每次答题时限为 30 分钟，共 60 道题。其中单选题40 题，多选题 20 题，总分为 100 分。整个比赛期间最多只能答题 5 次，最终以最高分计为个人成绩。集体成绩主要以各分院的参赛率为依据，若出现参赛率相同的情况，则综合平均分情况得出。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四、奖项设置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本次竞赛设个人奖、组织奖、指导奖。具体详见下表。</w:t>
      </w:r>
      <w:r>
        <w:rPr>
          <w:rFonts w:hint="eastAsia" w:ascii="仿宋" w:hAnsi="仿宋" w:eastAsia="仿宋" w:cs="仿宋"/>
          <w:sz w:val="24"/>
          <w:szCs w:val="24"/>
        </w:rPr>
        <w:t>经公示无异议后，颁发荣誉证书</w:t>
      </w:r>
      <w:r>
        <w:rPr>
          <w:rFonts w:hint="eastAsia" w:ascii="仿宋" w:hAnsi="仿宋" w:eastAsia="仿宋" w:cs="仿宋"/>
          <w:sz w:val="24"/>
          <w:szCs w:val="24"/>
          <w:lang w:eastAsia="zh-CN"/>
        </w:rPr>
        <w:t>及</w:t>
      </w:r>
      <w:r>
        <w:rPr>
          <w:rFonts w:hint="eastAsia" w:ascii="仿宋" w:hAnsi="仿宋" w:eastAsia="仿宋" w:cs="仿宋"/>
          <w:sz w:val="24"/>
          <w:szCs w:val="24"/>
          <w:lang w:val="en-US" w:eastAsia="zh-CN"/>
        </w:rPr>
        <w:t>奖杯</w:t>
      </w:r>
      <w:r>
        <w:rPr>
          <w:rFonts w:hint="eastAsia" w:ascii="仿宋" w:hAnsi="仿宋" w:eastAsia="仿宋" w:cs="仿宋"/>
          <w:sz w:val="24"/>
          <w:szCs w:val="24"/>
        </w:rPr>
        <w:t>。</w:t>
      </w:r>
      <w:r>
        <w:rPr>
          <w:rFonts w:hint="eastAsia" w:ascii="仿宋" w:hAnsi="仿宋" w:eastAsia="仿宋" w:cs="仿宋"/>
          <w:sz w:val="24"/>
          <w:szCs w:val="24"/>
          <w:lang w:val="en-US" w:eastAsia="zh-CN"/>
        </w:rPr>
        <w:t>此类比赛为省级A类比赛，参与即可加德育分0.5分，还可获得活动章。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2940"/>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奖项</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评选标准</w:t>
            </w:r>
          </w:p>
        </w:tc>
        <w:tc>
          <w:tcPr>
            <w:tcW w:w="319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奖励标准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个人奖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lang w:val="en-US" w:eastAsia="zh-CN"/>
              </w:rPr>
            </w:pP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初赛</w:t>
            </w:r>
            <w:r>
              <w:rPr>
                <w:rFonts w:hint="eastAsia" w:ascii="仿宋" w:hAnsi="仿宋" w:eastAsia="仿宋" w:cs="仿宋"/>
                <w:sz w:val="24"/>
                <w:szCs w:val="24"/>
              </w:rPr>
              <w:t>潮新闻客户端</w:t>
            </w:r>
            <w:r>
              <w:rPr>
                <w:rFonts w:hint="eastAsia" w:ascii="仿宋" w:hAnsi="仿宋" w:eastAsia="仿宋" w:cs="仿宋"/>
                <w:sz w:val="24"/>
                <w:szCs w:val="24"/>
                <w:lang w:val="en-US" w:eastAsia="zh-CN"/>
              </w:rPr>
              <w:t>答题个人最高分</w:t>
            </w:r>
          </w:p>
        </w:tc>
        <w:tc>
          <w:tcPr>
            <w:tcW w:w="319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一等奖3名，技能分4分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二等奖10名，技能分3分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三等奖15名，技能分2分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优胜奖30名，技能分1分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组织奖</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班级参赛率，参赛率相同的情况，综合班级平均分</w:t>
            </w:r>
          </w:p>
        </w:tc>
        <w:tc>
          <w:tcPr>
            <w:tcW w:w="319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一等奖1名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二等奖2名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三等奖3名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指导奖</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组织一等奖、二等奖、三等奖的团队指导老师</w:t>
            </w:r>
          </w:p>
        </w:tc>
        <w:tc>
          <w:tcPr>
            <w:tcW w:w="319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备注：参与率=班级有效参与答题人数/班级总人数；平均分=个人最高分总分/班级总人数。</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五、题库、出题和参考资料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本届竞赛出题范围集中于大学思政课、四史及时事政治相关理论知识，题库部分公开，选手可以通过赛前练习熟悉部分题目。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主要参考资料：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（一）《中国共产党历史》（第一卷上下册、第二卷上下册）：中共中央党史研究室著，中共党史出版社，2011年1月第2版。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（二）《中国共产党简史》：本书编写组著，人民出版社、中共党史出版社，2021年2月版。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（三）省第十五次党代会报告、省委十五届历次全会决定决议、“八八战略”相关内容及习近平总书记近期在浙江考察重要讲话精神等相关资料。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（四）高校思政课本科教学各课程2023版教材。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1.《习近平新时代中国特色社会主义思想学习纲要》中共中央宣传部，学习出版社、人民出版社，2023年版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2.《马克思主义基本原理》，高等教育出版社，2023版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3.《中国近现代史纲要》，高等教育出版社，2023版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4.《毛泽东思想和中国特色社会主义理论体系概论》，高等教育出版社，2023版</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5.《思想道德与法治》，高等教育出版社，2023版</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（五）时事政治。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六、考核</w:t>
      </w:r>
      <w:r>
        <w:rPr>
          <w:rFonts w:hint="eastAsia" w:ascii="仿宋" w:hAnsi="仿宋" w:eastAsia="仿宋" w:cs="仿宋"/>
          <w:b/>
          <w:bCs/>
          <w:sz w:val="24"/>
          <w:szCs w:val="24"/>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1.请各学院高度重视此次竞赛工作，</w:t>
      </w:r>
      <w:r>
        <w:rPr>
          <w:rFonts w:hint="eastAsia" w:ascii="仿宋" w:hAnsi="仿宋" w:eastAsia="仿宋" w:cs="仿宋"/>
          <w:sz w:val="24"/>
          <w:szCs w:val="24"/>
        </w:rPr>
        <w:t>指定专人负责</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精心组织，做好监督，不得虚报、漏报竞赛成绩。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2.卡尔·马克思杯作为省级A类比赛纳入年终辅导员工作业绩核心考核指标。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请各</w:t>
      </w:r>
      <w:r>
        <w:rPr>
          <w:rFonts w:hint="eastAsia" w:ascii="仿宋" w:hAnsi="仿宋" w:eastAsia="仿宋" w:cs="仿宋"/>
          <w:sz w:val="24"/>
          <w:szCs w:val="24"/>
          <w:lang w:val="en-US" w:eastAsia="zh-CN"/>
        </w:rPr>
        <w:t>辅导员初赛期间统一组织学生进行线上答题，班级有效参与率不得低于80%。并于11月25日15:00前以分院为单位将各班级学生成绩汇总表（附件1）发送到学生处李佳莹。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 李老师  057158618359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办公地点：格致楼220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杭州电子科技大学信息工程学院学生处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2023年11月10日</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附件1：</w:t>
      </w:r>
    </w:p>
    <w:tbl>
      <w:tblPr>
        <w:tblStyle w:val="3"/>
        <w:tblpPr w:leftFromText="180" w:rightFromText="180" w:vertAnchor="text" w:tblpXSpec="lef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334"/>
        <w:gridCol w:w="1716"/>
        <w:gridCol w:w="1617"/>
        <w:gridCol w:w="1750"/>
        <w:gridCol w:w="1633"/>
        <w:gridCol w:w="1867"/>
        <w:gridCol w:w="1650"/>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8" w:type="dxa"/>
            <w:gridSpan w:val="9"/>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宋体" w:hAnsi="宋体" w:eastAsia="宋体" w:cs="宋体"/>
                <w:b/>
                <w:bCs/>
                <w:sz w:val="32"/>
                <w:szCs w:val="32"/>
                <w:lang w:val="en-US" w:eastAsia="zh-CN"/>
              </w:rPr>
              <w:t>xxx学院xx班级“卡尔·马克思杯”初赛成绩汇总表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33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姓名</w:t>
            </w:r>
          </w:p>
        </w:tc>
        <w:tc>
          <w:tcPr>
            <w:tcW w:w="171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学号</w:t>
            </w:r>
          </w:p>
        </w:tc>
        <w:tc>
          <w:tcPr>
            <w:tcW w:w="8517" w:type="dxa"/>
            <w:gridSpan w:val="5"/>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个人初赛成绩</w:t>
            </w:r>
          </w:p>
        </w:tc>
        <w:tc>
          <w:tcPr>
            <w:tcW w:w="133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1334"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1716"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1617"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11月20日</w:t>
            </w:r>
          </w:p>
        </w:tc>
        <w:tc>
          <w:tcPr>
            <w:tcW w:w="175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11月21日</w:t>
            </w:r>
          </w:p>
        </w:tc>
        <w:tc>
          <w:tcPr>
            <w:tcW w:w="1633"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11月22日</w:t>
            </w:r>
          </w:p>
        </w:tc>
        <w:tc>
          <w:tcPr>
            <w:tcW w:w="1867"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11月23日</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11月24日</w:t>
            </w:r>
          </w:p>
        </w:tc>
        <w:tc>
          <w:tcPr>
            <w:tcW w:w="133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334"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716"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17"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750"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33"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867"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50"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33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7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334"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716"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17"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750"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33"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867"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50"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333"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334"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716"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17"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750"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33"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867"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50"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333"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334"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716"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17"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750"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33"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867"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50"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333"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334"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716"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17"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750"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33"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867"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bookmarkStart w:id="0" w:name="_GoBack"/>
            <w:bookmarkEnd w:id="0"/>
          </w:p>
        </w:tc>
        <w:tc>
          <w:tcPr>
            <w:tcW w:w="1650"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333"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334"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716"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17"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750"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33"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867"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50"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333"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7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334"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716"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17"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750"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33"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867"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50"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333"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334"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716"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17"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750"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33"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867"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50"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333"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334"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716"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17"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750"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33"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867"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50"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333"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334"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716"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17"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750"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33"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867"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650"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c>
          <w:tcPr>
            <w:tcW w:w="1333" w:type="dxa"/>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3878" w:type="dxa"/>
            <w:gridSpan w:val="9"/>
            <w:vAlign w:val="bottom"/>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szCs w:val="24"/>
                <w:u w:val="single"/>
                <w:vertAlign w:val="baseline"/>
                <w:lang w:val="en-US" w:eastAsia="zh-CN"/>
              </w:rPr>
            </w:pPr>
            <w:r>
              <w:rPr>
                <w:rFonts w:hint="eastAsia" w:ascii="仿宋" w:hAnsi="仿宋" w:eastAsia="仿宋" w:cs="仿宋"/>
                <w:sz w:val="24"/>
                <w:szCs w:val="24"/>
                <w:vertAlign w:val="baseline"/>
                <w:lang w:val="en-US" w:eastAsia="zh-CN"/>
              </w:rPr>
              <w:t>班级总人数：</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 xml:space="preserve">     班级参与人数：</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 xml:space="preserve">    班级参与率：</w:t>
            </w:r>
            <w:r>
              <w:rPr>
                <w:rFonts w:hint="eastAsia" w:ascii="仿宋" w:hAnsi="仿宋" w:eastAsia="仿宋" w:cs="仿宋"/>
                <w:sz w:val="24"/>
                <w:szCs w:val="24"/>
                <w:u w:val="single"/>
                <w:vertAlign w:val="baselin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5480F"/>
    <w:multiLevelType w:val="singleLevel"/>
    <w:tmpl w:val="CB65480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YmNjYTM3NDVlN2IyNzdjM2MxMjMwYzc2MWMwN2UifQ=="/>
  </w:docVars>
  <w:rsids>
    <w:rsidRoot w:val="20CA2A2E"/>
    <w:rsid w:val="0CBE1025"/>
    <w:rsid w:val="1800023D"/>
    <w:rsid w:val="1F8C5330"/>
    <w:rsid w:val="20CA2A2E"/>
    <w:rsid w:val="24264A5C"/>
    <w:rsid w:val="2AAE76BB"/>
    <w:rsid w:val="2B224698"/>
    <w:rsid w:val="36DD18F8"/>
    <w:rsid w:val="37887BDC"/>
    <w:rsid w:val="388F4F9A"/>
    <w:rsid w:val="53A70D33"/>
    <w:rsid w:val="57541431"/>
    <w:rsid w:val="577261C0"/>
    <w:rsid w:val="6C0E5D14"/>
    <w:rsid w:val="719F2365"/>
    <w:rsid w:val="7381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标题333"/>
    <w:basedOn w:val="1"/>
    <w:link w:val="6"/>
    <w:qFormat/>
    <w:uiPriority w:val="0"/>
    <w:pPr>
      <w:spacing w:before="156" w:beforeLines="50" w:line="360" w:lineRule="auto"/>
    </w:pPr>
    <w:rPr>
      <w:b/>
      <w:sz w:val="24"/>
    </w:rPr>
  </w:style>
  <w:style w:type="character" w:customStyle="1" w:styleId="6">
    <w:name w:val="标题333 Char"/>
    <w:link w:val="5"/>
    <w:qFormat/>
    <w:uiPriority w:val="0"/>
    <w:rPr>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2023-10-31T00:32:00Z</dcterms:created>
  <dc:creator>wyc</dc:creator>
  <cp:lastModifiedBy>wyc</cp:lastModifiedBy>
  <dcterms:modified xsi:type="dcterms:W3CDTF">2023-11-10T06:36:47Z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AE3ED1875C1643A69C00B9D0321C3F9A_11</vt:lpwstr>
  </property>
</Properties>
</file>