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bookmark7"/>
      <w:bookmarkStart w:id="1" w:name="bookmark8"/>
      <w:bookmarkStart w:id="2" w:name="bookmark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杭州电子科技大学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信息工程学院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道路交通安全管理规定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第一章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总则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第一条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为深化平安校园建设，保证学校正常的教学、科研、 学习和生活秩序，确保校园道路畅通及师生员工的安全，防止和杜绝校园交通事故，依据《中华人民共和国道路交通安全法》《中 华人民共和国道路交通安全法实施条例》《浙江省电动自行车管 理条例》等法律法规和《浙江省高等学校等级平安校园建设标准》相关规定要求，结合学校实际，制定本规定。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在校园内行驶的机动车辆、非机动车辆及驾驶人员 和行人，均属本规定管理范围。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第三条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校园道路交通安全管理，遵循以人为本、依法管理原则，保障道路交通规范、有序、安全、畅通。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第二章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道路管理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第四条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未经批准，任何单位和个人不得擅自封闭、占用校 园道路或从事其他影响正常交通的活动，不得擅自设置、移动或 损坏交通设施和警示标识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第五条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 xml:space="preserve">校内道路进行养护、维修或破路施工时，应提前经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  <w:t>后勤基建部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审核同意，并按照规定设置规范的安全警示标志和安全防护设施，施工结束后及时修复路面。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第六条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校内道路不得学习驾驶机动车，不得有使用滑板、 旱冰鞋、平衡车等法律法规不允许进入公共道路的行为。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第七条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不得在道路上悬挂、设置影响交通视线的广告、宣传物品，不准在路面上涂画交通标识以外的任何标记。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第八条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共享车辆企业须向学校递交入校服务承诺书、承担 安全责任和秩序维护义务，并按照学校要求派驻人员入校进行安 全、规范、专业、及时的维护保养工作。不签订承诺书、不派驻 力量维护保养、不服从管理的共享车辆企业，其所属品牌车辆一 律不准入校，滞留车辆一律清理出校园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第三章机动车管理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第九条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机动车进出校园须减速慢行，服从门卫管理。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在校园道路上行驶的车辆，应按照道路交通标志、 标线的规定行驶，应主动避让行人和非机动车，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机动车在校内行驶时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限速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公里/小时，文明行车， 禁止鸣号。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第十一条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因教学、基建及其他保障等必须进入校园的大型车辆和工程车，用车单位须提前向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后勤基建部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提出申请，经审核批准后在指定校门、规定时间段内通行，并在指定位置规范停放。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第十二条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进校执行公务的消防、救护、警车、卫生防疫等车辆及开展市政、通信、电力、自来水、环卫等应急抢修工作的车辆准予通行。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第十三条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出租车、网约车等社会营运车辆不得进入校园。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第十四条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所有机动车在校园内应按照停车指示标志停放， 不得在禁停区域停放，在没有停车指示标志的区域不得乱停放， 不得占用消防通道、妨碍道路交通，燃油汽车禁止占用电动汽车专用充电停车位。遇有交通管理人员现场指挥时，应按照交通管理人员指挥停放。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第十五条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电动汽车应在指定区域规范充电，不得在地下车 库、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其它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 xml:space="preserve">等场所私拉乱接电源线违规充电。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第四章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非机动车管理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非机动车进出校门时，须减速慢行，遇门卫查验 时，应停车配合，不得硬闯。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 xml:space="preserve"> 送餐、外卖电动自行车、不符合交通安全法规的 非机动车、燃油和电动三轮车禁止入校。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第十八条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 xml:space="preserve"> 十二周岁以下儿童不得在校园内骑行自行车和电 动自行车。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第十九条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电动自行车进出校园和在校内行驶时，驾驶人应 当佩戴安全头盔，不得骑车带人（十二周岁以下未成年人除外， 六周岁以下儿童搭载时应当在后座使用儿童座椅）。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第二十条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非机动车须在指定停放点有序停放，不得进入教学楼、办公楼、学生公寓等建筑物的电梯，不得停放在建筑物的疏散通道、安全出口、楼梯间等影响消防通道畅通的区域。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电动自行车应在指定充电区域规范充电，不得 在地下车库、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寝室、教学楼、办公楼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等场所私拉乱接电源线违规充电。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学校有权将长期滞留学校（公告期内未认领） 的非机动车清出校园。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行人管理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602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进出校园的各类人员，应通过人脸识别或访客系统通行，如遇门卫查验，应主动出示有效证件，并自觉接受校 门进出管理。学校有权禁止从事非法活动、扰乱秩序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具有各类安全隐患的人员入校。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602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在校内道路上的行人应走人行道，在路面行走 时，应靠右行，并注意过往车辆，不得在道路中间或中心线上行 走，不得随意穿行。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学龄前儿童在校园内行走，须由家长陪同。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br w:type="textWrapping"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第六章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违章处理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机动车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、电动车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违规停放、违章充电处理：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 xml:space="preserve">对校内违规停放、违章充电的机动车和电动自行车， 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后勤基建部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有权根据不同情况实施张贴违规违章通知单、公开通报、 移车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或加锁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等处理措施。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驾驶电动自行车进出校园不佩戴安全头盔者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门卫有权限制电动自行车进出学校，驾驶人将电动自行车按要求 停放于指定停车点后，方可进出校门。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其他违反本规定的，以劝告、教育、制止为主, 由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后勤基建部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按照学校相关规定给予相应处理；对经劝告、教育、制止仍不改正的，交由违规行为人所在单位处理；违规情节特别严重的，交由公安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司法机关依法处理。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第七章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交通事故处理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第二十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在校园内发生交通事故，车辆驾驶（骑行）人应当立即停车，保护现场。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第三十条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造成人员伤亡的，应立即进行救助，并迅速向交警部门和急救中心报警，同时向校园110报警。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第三十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 xml:space="preserve"> 仅造成轻微财产损失、未造成人员伤亡、基本 事实清楚、当事人对事故责任无争议的交通事故，可按交警部门 的有关规定协商处理，即行撤离现场，恢复交通；如当事人对事 故责任有争议，应迅速向交警部门报警，同时向校园110报警， 并尽量减少对交通的影响。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第八章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附则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602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第三十</w:t>
      </w:r>
      <w:r>
        <w:rPr>
          <w:rFonts w:hint="eastAsia" w:cs="宋体"/>
          <w:b/>
          <w:bCs/>
          <w:color w:val="000000"/>
          <w:spacing w:val="0"/>
          <w:w w:val="100"/>
          <w:position w:val="0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条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color w:val="000000"/>
          <w:spacing w:val="0"/>
          <w:w w:val="100"/>
          <w:position w:val="0"/>
          <w:sz w:val="30"/>
          <w:szCs w:val="30"/>
          <w:lang w:eastAsia="zh-CN"/>
        </w:rPr>
        <w:t>后勤基建部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可根据本规定制定实施细则。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0"/>
          <w:szCs w:val="30"/>
        </w:rPr>
        <w:t>第三十四条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 xml:space="preserve"> 本规定自发布之日起施行，由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  <w:t>后勤基建部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负责解释。原《杭州电子科技大学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  <w:t>信息工程学院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校园交通安全管理规定》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800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杭州电子科技大学信息工程学院后勤基建部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BBCBD"/>
    <w:multiLevelType w:val="singleLevel"/>
    <w:tmpl w:val="22EBBCBD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3C8A"/>
    <w:rsid w:val="037F21FC"/>
    <w:rsid w:val="0B171057"/>
    <w:rsid w:val="0B737C05"/>
    <w:rsid w:val="138A3D82"/>
    <w:rsid w:val="164C1C4A"/>
    <w:rsid w:val="1F1354E6"/>
    <w:rsid w:val="22985856"/>
    <w:rsid w:val="295E5713"/>
    <w:rsid w:val="35D603F3"/>
    <w:rsid w:val="3BFC3774"/>
    <w:rsid w:val="41162A9C"/>
    <w:rsid w:val="4630389F"/>
    <w:rsid w:val="4D2C3664"/>
    <w:rsid w:val="4D992417"/>
    <w:rsid w:val="4ECE3617"/>
    <w:rsid w:val="5812097A"/>
    <w:rsid w:val="59250626"/>
    <w:rsid w:val="63243D7D"/>
    <w:rsid w:val="64AC1A84"/>
    <w:rsid w:val="65755C2E"/>
    <w:rsid w:val="68A9189F"/>
    <w:rsid w:val="6B9D48D0"/>
    <w:rsid w:val="6D2762AB"/>
    <w:rsid w:val="6D9C760F"/>
    <w:rsid w:val="6E7B0939"/>
    <w:rsid w:val="6F393C8A"/>
    <w:rsid w:val="752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60" w:line="614" w:lineRule="exact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2021-06-13T11:22:00Z</dcterms:created>
  <dc:creator>2</dc:creator>
  <cp:lastModifiedBy>Administrator</cp:lastModifiedBy>
  <dcterms:modified xsi:type="dcterms:W3CDTF">2022-05-12T03:43:30Z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31C4E613EE95467C979B3C95E93D8C8F</vt:lpwstr>
  </property>
</Properties>
</file>