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hint="eastAsia" w:ascii="黑体" w:hAnsi="黑体" w:eastAsia="黑体" w:cs="黑体"/>
          <w:kern w:val="2"/>
          <w:sz w:val="32"/>
          <w:szCs w:val="40"/>
          <w:u w:val="none" w:color="FFC00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u w:val="none" w:color="FFC00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FFC00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FFC000"/>
          <w:lang w:val="en-US" w:eastAsia="zh-CN" w:bidi="ar-SA"/>
        </w:rPr>
        <w:t>杭州电子科技大学信息工程学院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FFC00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FFC000"/>
          <w:lang w:val="en-US" w:eastAsia="zh-CN" w:bidi="ar-SA"/>
        </w:rPr>
        <w:t>2019-2020学年学生组织（学生社团）星级评定结果公示</w:t>
      </w:r>
    </w:p>
    <w:bookmarkEnd w:id="0"/>
    <w:tbl>
      <w:tblPr>
        <w:tblStyle w:val="3"/>
        <w:tblW w:w="83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5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2" w:hRule="atLeast"/>
          <w:jc w:val="center"/>
        </w:trPr>
        <w:tc>
          <w:tcPr>
            <w:tcW w:w="2627" w:type="dxa"/>
          </w:tcPr>
          <w:p>
            <w:pPr>
              <w:widowControl w:val="0"/>
              <w:spacing w:before="122"/>
              <w:jc w:val="center"/>
              <w:rPr>
                <w:rFonts w:hint="default" w:ascii="仿宋" w:hAnsi="仿宋" w:eastAsia="仿宋" w:cs="仿宋"/>
                <w:b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ascii="仿宋" w:hAnsi="仿宋" w:eastAsia="仿宋" w:cs="仿宋"/>
                <w:b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星级</w:t>
            </w:r>
            <w:r>
              <w:rPr>
                <w:rFonts w:hint="eastAsia" w:cs="仿宋"/>
                <w:b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评定结果</w:t>
            </w:r>
          </w:p>
        </w:tc>
        <w:tc>
          <w:tcPr>
            <w:tcW w:w="5752" w:type="dxa"/>
          </w:tcPr>
          <w:p>
            <w:pPr>
              <w:widowControl w:val="0"/>
              <w:spacing w:before="122"/>
              <w:ind w:left="78" w:right="70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b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社团名称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627" w:type="dxa"/>
            <w:vMerge w:val="restart"/>
          </w:tcPr>
          <w:p>
            <w:pPr>
              <w:widowControl w:val="0"/>
              <w:spacing w:before="0"/>
              <w:ind w:left="0"/>
              <w:jc w:val="left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ind w:left="0"/>
              <w:jc w:val="left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ind w:left="0"/>
              <w:jc w:val="left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8"/>
              <w:ind w:left="0"/>
              <w:jc w:val="left"/>
              <w:rPr>
                <w:rFonts w:ascii="宋体" w:hAnsi="仿宋" w:eastAsia="仿宋" w:cs="仿宋"/>
                <w:kern w:val="2"/>
                <w:sz w:val="46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五星级</w:t>
            </w:r>
          </w:p>
        </w:tc>
        <w:tc>
          <w:tcPr>
            <w:tcW w:w="5752" w:type="dxa"/>
          </w:tcPr>
          <w:p>
            <w:pPr>
              <w:widowControl w:val="0"/>
              <w:spacing w:before="124"/>
              <w:ind w:left="80" w:right="7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微记者团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627" w:type="dxa"/>
            <w:vMerge w:val="continue"/>
          </w:tcPr>
          <w:p>
            <w:pPr>
              <w:widowControl w:val="0"/>
              <w:spacing w:before="0"/>
              <w:ind w:left="449"/>
              <w:jc w:val="left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4"/>
              <w:ind w:left="80" w:right="7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青年马克思主义者培养学院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top"/>
          </w:tcPr>
          <w:p>
            <w:pPr>
              <w:widowControl w:val="0"/>
              <w:spacing w:before="123"/>
              <w:ind w:left="78" w:leftChars="0" w:right="70" w:rightChars="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信工之声广播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电视</w:t>
            </w: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top"/>
          </w:tcPr>
          <w:p>
            <w:pPr>
              <w:widowControl w:val="0"/>
              <w:spacing w:before="123"/>
              <w:ind w:left="78" w:leftChars="0" w:right="70" w:rightChars="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青年志愿者协会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4"/>
              <w:ind w:left="78" w:right="7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新媒体工作室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2"/>
              <w:ind w:left="76" w:right="7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学生科学技术联合会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top"/>
          </w:tcPr>
          <w:p>
            <w:pPr>
              <w:widowControl w:val="0"/>
              <w:spacing w:before="122"/>
              <w:ind w:left="76" w:leftChars="0" w:right="70" w:rightChars="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学生公寓自主管理委员会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627" w:type="dxa"/>
            <w:vMerge w:val="restart"/>
          </w:tcPr>
          <w:p>
            <w:pPr>
              <w:widowControl w:val="0"/>
              <w:spacing w:before="0"/>
              <w:ind w:left="0"/>
              <w:jc w:val="left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ind w:left="0"/>
              <w:jc w:val="left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3"/>
              <w:ind w:left="0"/>
              <w:jc w:val="left"/>
              <w:rPr>
                <w:rFonts w:ascii="宋体" w:hAnsi="仿宋" w:eastAsia="仿宋" w:cs="仿宋"/>
                <w:kern w:val="2"/>
                <w:sz w:val="33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四星级</w:t>
            </w:r>
          </w:p>
        </w:tc>
        <w:tc>
          <w:tcPr>
            <w:tcW w:w="5752" w:type="dxa"/>
          </w:tcPr>
          <w:p>
            <w:pPr>
              <w:widowControl w:val="0"/>
              <w:spacing w:before="123"/>
              <w:ind w:left="80" w:right="7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大学生艺术团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627" w:type="dxa"/>
            <w:vMerge w:val="continue"/>
          </w:tcPr>
          <w:p>
            <w:pPr>
              <w:widowControl w:val="0"/>
              <w:spacing w:before="0"/>
              <w:ind w:left="449"/>
              <w:jc w:val="left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3"/>
              <w:ind w:left="80" w:right="7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招生志愿者协会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4"/>
              <w:ind w:left="80" w:right="7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中国特色社会主义理论体系读书会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2"/>
              <w:ind w:left="76" w:right="7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就业协会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4"/>
              <w:ind w:left="78" w:right="7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易班工作站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Calibri" w:hAnsi="Calibri" w:eastAsia="宋体"/>
                <w:kern w:val="2"/>
                <w:sz w:val="32"/>
                <w:szCs w:val="36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推着走骑行社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</w:tcPr>
          <w:p>
            <w:pPr>
              <w:widowControl w:val="0"/>
              <w:spacing w:before="124"/>
              <w:ind w:left="78" w:right="7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千叶思辩社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widowControl w:val="0"/>
              <w:spacing w:before="0"/>
              <w:ind w:left="0"/>
              <w:jc w:val="center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ind w:left="0"/>
              <w:jc w:val="center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ind w:left="0"/>
              <w:jc w:val="center"/>
              <w:rPr>
                <w:rFonts w:ascii="宋体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8"/>
              <w:ind w:left="0"/>
              <w:jc w:val="center"/>
              <w:rPr>
                <w:rFonts w:ascii="宋体" w:hAnsi="仿宋" w:eastAsia="仿宋" w:cs="仿宋"/>
                <w:kern w:val="2"/>
                <w:sz w:val="46"/>
                <w:szCs w:val="36"/>
                <w:u w:val="none" w:color="FFC000"/>
                <w:lang w:val="zh-CN" w:eastAsia="zh-CN" w:bidi="zh-CN"/>
              </w:rPr>
            </w:pPr>
          </w:p>
          <w:p>
            <w:pPr>
              <w:widowControl w:val="0"/>
              <w:spacing w:before="0"/>
              <w:ind w:left="0" w:leftChars="0" w:firstLine="0" w:firstLineChars="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三星级</w:t>
            </w: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  <w:t>创新创业协会</w:t>
            </w:r>
          </w:p>
          <w:p>
            <w:pPr>
              <w:autoSpaceDE/>
              <w:autoSpaceDN/>
              <w:spacing w:beforeLines="0" w:afterLines="0"/>
              <w:jc w:val="center"/>
              <w:rPr>
                <w:rFonts w:ascii="Calibri" w:hAnsi="Calibri" w:eastAsia="宋体"/>
                <w:kern w:val="2"/>
                <w:sz w:val="32"/>
                <w:szCs w:val="36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  <w:t>（成立未满一年，按照一星级标准加分）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widowControl w:val="0"/>
              <w:spacing w:before="0"/>
              <w:ind w:left="0" w:leftChars="0" w:firstLine="0" w:firstLineChars="0"/>
              <w:jc w:val="center"/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</w:p>
        </w:tc>
        <w:tc>
          <w:tcPr>
            <w:tcW w:w="5752" w:type="dxa"/>
            <w:vAlign w:val="top"/>
          </w:tcPr>
          <w:p>
            <w:pPr>
              <w:widowControl w:val="0"/>
              <w:spacing w:before="123"/>
              <w:ind w:left="78" w:leftChars="0" w:right="7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心理协会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top"/>
          </w:tcPr>
          <w:p>
            <w:pPr>
              <w:widowControl w:val="0"/>
              <w:spacing w:before="123"/>
              <w:ind w:left="78" w:leftChars="0" w:right="7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  <w:t>红十字协会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top"/>
          </w:tcPr>
          <w:p>
            <w:pPr>
              <w:widowControl w:val="0"/>
              <w:spacing w:before="124"/>
              <w:ind w:left="80" w:leftChars="0" w:right="7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32"/>
                <w:szCs w:val="36"/>
                <w:u w:val="none" w:color="FFC000"/>
                <w:lang w:val="zh-CN" w:eastAsia="zh-CN" w:bidi="zh-CN"/>
              </w:rPr>
              <w:t>人民武装协会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AYH舞社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外语社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启辰天文社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时雨技术交流与支持协会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书法社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武道社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NR夜跑社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华韵留声朗诵社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青森漫研社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绿茵联盟足球社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定向运动社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国学社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绿色环保协会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default" w:ascii="Calibri" w:hAnsi="Calibri" w:eastAsia="宋体"/>
                <w:kern w:val="2"/>
                <w:sz w:val="2"/>
                <w:szCs w:val="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  <w:t>二星级</w:t>
            </w: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谁羽争锋社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DIY手工模型社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反邪教协会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爱尚读书社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青春正当时电子竞技社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168号桌游社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ERP沙盘协会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登山社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信嘻社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推理社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肉植花园协会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鬼诡社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High-Key音乐社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信工篮球俱乐部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粤语社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Echo吉他协会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琅琊诗社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风竹话剧社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围棋社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FFC000"/>
                <w:lang w:val="en-US" w:eastAsia="zh-CN" w:bidi="ar-SA"/>
              </w:rPr>
              <w:t>一星级</w:t>
            </w: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魔方社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hint="eastAsia" w:ascii="Calibri" w:hAnsi="Calibri" w:eastAsia="宋体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wargame 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美食联盟社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排球社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GIFT 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旧时光电影社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爱乒社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潮信工美妆社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滑板社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惊蛰古风社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健美操社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网球社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Hicone.D.G后期社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H.O.T模特社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简曼工作室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RunningMan 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图层摄影协会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航模社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知行实践调查协会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魔术社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vMerge w:val="continue"/>
          </w:tcPr>
          <w:p>
            <w:pPr>
              <w:autoSpaceDE/>
              <w:autoSpaceDN/>
              <w:jc w:val="both"/>
              <w:rPr>
                <w:rFonts w:ascii="Calibri" w:hAnsi="Calibri" w:eastAsia="宋体"/>
                <w:kern w:val="2"/>
                <w:sz w:val="2"/>
                <w:szCs w:val="2"/>
                <w:u w:val="none" w:color="FFC000"/>
                <w:lang w:val="en-US" w:bidi="ar-SA"/>
              </w:rPr>
            </w:pPr>
          </w:p>
        </w:tc>
        <w:tc>
          <w:tcPr>
            <w:tcW w:w="575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国际演讲社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211B1"/>
    <w:rsid w:val="3AC211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2020-03-03T03:10:00Z</dcterms:created>
  <dc:creator>MINE.</dc:creator>
  <cp:lastModifiedBy>MINE.</cp:lastModifiedBy>
  <dcterms:modified xsi:type="dcterms:W3CDTF">2020-03-03T03:11:36Z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