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line="560" w:lineRule="exact"/>
        <w:ind w:firstLine="0" w:firstLineChars="0"/>
        <w:rPr>
          <w:rFonts w:ascii="黑体" w:hAnsi="黑体" w:eastAsia="黑体" w:cs="宋体"/>
          <w:kern w:val="0"/>
          <w:sz w:val="32"/>
          <w:szCs w:val="32"/>
        </w:rPr>
      </w:pPr>
      <w:r>
        <w:rPr>
          <w:rFonts w:hint="eastAsia" w:ascii="黑体" w:hAnsi="黑体" w:eastAsia="黑体" w:cs="宋体"/>
          <w:kern w:val="0"/>
          <w:sz w:val="32"/>
          <w:szCs w:val="32"/>
        </w:rPr>
        <w:t>附件3</w:t>
      </w:r>
    </w:p>
    <w:p>
      <w:pPr>
        <w:widowControl w:val="0"/>
        <w:spacing w:line="560" w:lineRule="exact"/>
        <w:ind w:firstLine="0" w:firstLineChars="0"/>
        <w:jc w:val="center"/>
        <w:rPr>
          <w:rFonts w:ascii="方正小标宋简体" w:hAnsi="等线" w:eastAsia="方正小标宋简体" w:cs="宋体"/>
          <w:kern w:val="0"/>
          <w:sz w:val="44"/>
          <w:szCs w:val="44"/>
        </w:rPr>
      </w:pPr>
      <w:r>
        <w:rPr>
          <w:rFonts w:hint="eastAsia" w:ascii="方正小标宋简体" w:hAnsi="等线" w:eastAsia="方正小标宋简体" w:cs="宋体"/>
          <w:kern w:val="0"/>
          <w:sz w:val="44"/>
          <w:szCs w:val="44"/>
        </w:rPr>
        <w:t>杭州电子科技大学信息工程学院</w:t>
      </w:r>
    </w:p>
    <w:p>
      <w:pPr>
        <w:widowControl w:val="0"/>
        <w:spacing w:line="560" w:lineRule="exact"/>
        <w:ind w:firstLine="0" w:firstLineChars="0"/>
        <w:jc w:val="center"/>
        <w:rPr>
          <w:rFonts w:ascii="仿宋" w:hAnsi="仿宋" w:cs="宋体"/>
          <w:kern w:val="0"/>
          <w:sz w:val="44"/>
          <w:szCs w:val="44"/>
        </w:rPr>
      </w:pPr>
      <w:r>
        <w:rPr>
          <w:rFonts w:hint="eastAsia" w:ascii="方正小标宋简体" w:hAnsi="等线" w:eastAsia="方正小标宋简体" w:cs="宋体"/>
          <w:kern w:val="0"/>
          <w:sz w:val="44"/>
          <w:szCs w:val="44"/>
        </w:rPr>
        <w:t>第六届民俗游园会创意集市参考清单</w:t>
      </w:r>
    </w:p>
    <w:tbl>
      <w:tblPr>
        <w:tblStyle w:val="3"/>
        <w:tblW w:w="10477" w:type="dxa"/>
        <w:jc w:val="center"/>
        <w:tblLayout w:type="fixed"/>
        <w:tblCellMar>
          <w:top w:w="0" w:type="dxa"/>
          <w:left w:w="108" w:type="dxa"/>
          <w:bottom w:w="0" w:type="dxa"/>
          <w:right w:w="108" w:type="dxa"/>
        </w:tblCellMar>
      </w:tblPr>
      <w:tblGrid>
        <w:gridCol w:w="1976"/>
        <w:gridCol w:w="8501"/>
      </w:tblGrid>
      <w:tr>
        <w:tblPrEx>
          <w:tblCellMar>
            <w:top w:w="0" w:type="dxa"/>
            <w:left w:w="108" w:type="dxa"/>
            <w:bottom w:w="0" w:type="dxa"/>
            <w:right w:w="108" w:type="dxa"/>
          </w:tblCellMar>
        </w:tblPrEx>
        <w:trPr>
          <w:trHeight w:val="348"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黑体" w:hAnsi="黑体" w:eastAsia="黑体" w:cs="宋体"/>
                <w:kern w:val="0"/>
              </w:rPr>
            </w:pPr>
            <w:r>
              <w:rPr>
                <w:rFonts w:hint="eastAsia" w:ascii="黑体" w:hAnsi="黑体" w:eastAsia="黑体" w:cs="宋体"/>
                <w:kern w:val="0"/>
              </w:rPr>
              <w:t>项目名称</w:t>
            </w:r>
          </w:p>
        </w:tc>
        <w:tc>
          <w:tcPr>
            <w:tcW w:w="8501" w:type="dxa"/>
            <w:tcBorders>
              <w:top w:val="single" w:color="auto" w:sz="4" w:space="0"/>
              <w:left w:val="nil"/>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黑体" w:hAnsi="黑体" w:eastAsia="黑体" w:cs="宋体"/>
                <w:kern w:val="0"/>
              </w:rPr>
            </w:pPr>
            <w:r>
              <w:rPr>
                <w:rFonts w:hint="eastAsia" w:ascii="黑体" w:hAnsi="黑体" w:eastAsia="黑体" w:cs="宋体"/>
                <w:kern w:val="0"/>
              </w:rPr>
              <w:t>项目简介</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辞旧迎新</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同学可以在纸上写下今年最大的烦恼撕碎后扔在纸箱里，也可以在纸上写下对明年自己的期望保存起来。</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匿名树洞</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摊位独立，摊位处工作人员及参与者都需戴面具，摊位设置树洞型立板，参与者可选择将烦恼写在纸上投入树洞后的纸箱内，也可选择有工作人员所在的树洞进行倾诉，寻求安慰</w:t>
            </w:r>
            <w:r>
              <w:rPr>
                <w:rFonts w:ascii="仿宋" w:hAnsi="仿宋" w:cs="宋体"/>
                <w:kern w:val="0"/>
              </w:rPr>
              <w:t>(注:工作人员安慰为主，不得随意提出有偏向性的意见)</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古色古香</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同学们可进行香包的动手制作体验，亲自动手制作，后可选择自己保留或交于院团委学生社团指导中心，由院团委学生社团指导中心转交给青协，用于捐赠给福利院和孤儿院。为他人带去一份幸福，幸福加倍。</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童真童趣</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收集小时候相关的玩具等进行展示，让大家重温孩童时代。</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稻草易物</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以一些物品作为开头，同学可以拿走自己需要的物品，但必须要留下等价或者更珍贵的物品，参与的同学可以参与抽奖，置换的最后的物品会作为抽奖礼品，送给中奖同学。</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仿宋"/>
                <w:bCs/>
              </w:rPr>
              <w:t>名字手环</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仿宋"/>
                <w:kern w:val="0"/>
              </w:rPr>
              <w:t>将由工作人员教学如何编手绳，成功将自己名字的首字母编写与手绳中即可获得该手绳</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仿宋"/>
                <w:bCs/>
              </w:rPr>
              <w:t>风车少年</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仿宋"/>
                <w:kern w:val="0"/>
              </w:rPr>
              <w:t>将由工作人员教学如何制作风车，成功制作风车者即可获得该风车</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承载千年</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同学们可进行剪窗花、写春联、做纸花灯、画国画等的动手制作体验，亲自动手制作，完成后可自己保留。</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制作小工坊</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同学们可进行古风发簪的动手制作体验，亲自动手制作，后可选择自己保留或捐赠于公益性组织，赠与小朋友或喜欢这方面的陌生人，为他人带去一份幸福，幸福加倍。</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新年新友</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活动开始后三小时先让同学们写下自己的兴趣爱好和联系方式在纸条上，并投入箱子，可以活动一份小礼品与一张抽取券，三小时后可凭券来抽取条，在新的一年认识新朋友。</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我与你的光年距离</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同学们可以在信纸上写下自己在信工的某次擦肩而过的经历或某次的萍水相逢装入信封，若愿意的话，可以挑取一封带走。</w:t>
            </w:r>
          </w:p>
        </w:tc>
      </w:tr>
      <w:tr>
        <w:tblPrEx>
          <w:tblCellMar>
            <w:top w:w="0" w:type="dxa"/>
            <w:left w:w="108" w:type="dxa"/>
            <w:bottom w:w="0" w:type="dxa"/>
            <w:right w:w="108" w:type="dxa"/>
          </w:tblCellMar>
        </w:tblPrEx>
        <w:trPr>
          <w:trHeight w:val="680" w:hRule="atLeast"/>
          <w:jc w:val="center"/>
        </w:trPr>
        <w:tc>
          <w:tcPr>
            <w:tcW w:w="1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center"/>
              <w:rPr>
                <w:rFonts w:ascii="仿宋" w:hAnsi="仿宋" w:cs="宋体"/>
                <w:kern w:val="0"/>
              </w:rPr>
            </w:pPr>
            <w:r>
              <w:rPr>
                <w:rFonts w:hint="eastAsia" w:ascii="仿宋" w:hAnsi="仿宋" w:cs="宋体"/>
                <w:kern w:val="0"/>
              </w:rPr>
              <w:t>对联秀</w:t>
            </w:r>
          </w:p>
        </w:tc>
        <w:tc>
          <w:tcPr>
            <w:tcW w:w="85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val="0"/>
              <w:spacing w:line="240" w:lineRule="auto"/>
              <w:ind w:firstLine="0" w:firstLineChars="0"/>
              <w:jc w:val="both"/>
              <w:rPr>
                <w:rFonts w:ascii="仿宋" w:hAnsi="仿宋" w:cs="宋体"/>
                <w:kern w:val="0"/>
              </w:rPr>
            </w:pPr>
            <w:r>
              <w:rPr>
                <w:rFonts w:hint="eastAsia" w:ascii="仿宋" w:hAnsi="仿宋" w:cs="宋体"/>
                <w:kern w:val="0"/>
              </w:rPr>
              <w:t>采取对对联，写对联的方式展现中国民俗魅力。</w:t>
            </w:r>
          </w:p>
        </w:tc>
      </w:tr>
    </w:tbl>
    <w:p>
      <w:pPr>
        <w:widowControl w:val="0"/>
        <w:ind w:firstLine="0" w:firstLineChars="0"/>
      </w:pPr>
      <w:r>
        <w:rPr>
          <w:rFonts w:hint="eastAsia" w:ascii="宋体" w:hAnsi="宋体"/>
          <w:bCs/>
          <w:sz w:val="32"/>
        </w:rPr>
        <w:t>注：推荐清单中的集市领取办法采取先提交先得的原则。</w:t>
      </w:r>
    </w:p>
    <w:p>
      <w:bookmarkStart w:id="0" w:name="_GoBack"/>
      <w:bookmarkEnd w:id="0"/>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B523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Calibri" w:hAnsi="Calibri" w:eastAsia="仿宋" w:cs="Times New Roman"/>
      <w:kern w:val="2"/>
      <w:sz w:val="24"/>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spacing w:line="240" w:lineRule="auto"/>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2022-03-09T04:13:30Z</dcterms:created>
  <dc:creator>DELL</dc:creator>
  <cp:lastModifiedBy>DELL</cp:lastModifiedBy>
  <dcterms:modified xsi:type="dcterms:W3CDTF">2022-03-09T04:13:35Z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CB2C603E56D8465CBD22A9C26D254E0A</vt:lpwstr>
  </property>
</Properties>
</file>